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32"/>
          <w:szCs w:val="32"/>
          <w:lang w:eastAsia="zh-CN"/>
        </w:rPr>
      </w:pPr>
      <w:r>
        <w:rPr>
          <w:rFonts w:hint="eastAsia" w:ascii="方正小标宋简体" w:hAnsi="方正小标宋简体" w:eastAsia="方正小标宋简体"/>
          <w:sz w:val="44"/>
          <w:szCs w:val="44"/>
        </w:rPr>
        <w:t>鄂州</w:t>
      </w:r>
      <w:r>
        <w:rPr>
          <w:rFonts w:hint="eastAsia" w:ascii="方正小标宋简体" w:hAnsi="方正小标宋简体" w:eastAsia="方正小标宋简体"/>
          <w:sz w:val="44"/>
          <w:szCs w:val="44"/>
          <w:lang w:val="en-US" w:eastAsia="zh-CN"/>
        </w:rPr>
        <w:t>市</w:t>
      </w:r>
      <w:r>
        <w:rPr>
          <w:rFonts w:hint="eastAsia" w:ascii="方正小标宋简体" w:hAnsi="方正小标宋简体" w:eastAsia="方正小标宋简体"/>
          <w:sz w:val="44"/>
          <w:szCs w:val="44"/>
        </w:rPr>
        <w:t>观音阁保护管理办法</w:t>
      </w:r>
      <w:r>
        <w:rPr>
          <w:rFonts w:hint="default" w:ascii="方正小标宋简体" w:hAnsi="方正小标宋简体" w:eastAsia="方正小标宋简体"/>
          <w:sz w:val="44"/>
          <w:szCs w:val="44"/>
        </w:rPr>
        <w:t>（</w:t>
      </w:r>
      <w:r>
        <w:rPr>
          <w:rFonts w:hint="eastAsia" w:ascii="方正小标宋简体" w:hAnsi="方正小标宋简体" w:eastAsia="方正小标宋简体"/>
          <w:sz w:val="44"/>
          <w:szCs w:val="44"/>
          <w:lang w:eastAsia="zh-CN"/>
        </w:rPr>
        <w:t>草案送审稿</w:t>
      </w:r>
      <w:r>
        <w:rPr>
          <w:rFonts w:hint="default" w:ascii="方正小标宋简体" w:hAnsi="方正小标宋简体" w:eastAsia="方正小标宋简体"/>
          <w:sz w:val="44"/>
          <w:szCs w:val="44"/>
        </w:rPr>
        <w:t>）</w:t>
      </w:r>
      <w:r>
        <w:rPr>
          <w:rFonts w:hint="default" w:ascii="方正小标宋简体" w:hAnsi="方正小标宋简体" w:eastAsia="方正小标宋简体"/>
          <w:sz w:val="44"/>
          <w:szCs w:val="44"/>
        </w:rPr>
        <w:br w:type="textWrapping"/>
      </w:r>
      <w:r>
        <w:rPr>
          <w:rFonts w:hint="default" w:ascii="方正小标宋简体" w:hAnsi="方正小标宋简体" w:eastAsia="方正小标宋简体"/>
          <w:sz w:val="44"/>
          <w:szCs w:val="44"/>
        </w:rPr>
        <w:t>起</w:t>
      </w:r>
      <w:r>
        <w:rPr>
          <w:rFonts w:hint="eastAsia" w:ascii="方正小标宋简体" w:hAnsi="方正小标宋简体" w:eastAsia="方正小标宋简体"/>
          <w:sz w:val="44"/>
          <w:szCs w:val="44"/>
          <w:lang w:val="en-US" w:eastAsia="zh-CN"/>
        </w:rPr>
        <w:t xml:space="preserve"> </w:t>
      </w:r>
      <w:r>
        <w:rPr>
          <w:rFonts w:hint="default" w:ascii="方正小标宋简体" w:hAnsi="方正小标宋简体" w:eastAsia="方正小标宋简体"/>
          <w:sz w:val="44"/>
          <w:szCs w:val="44"/>
        </w:rPr>
        <w:t>草</w:t>
      </w:r>
      <w:r>
        <w:rPr>
          <w:rFonts w:hint="eastAsia" w:ascii="方正小标宋简体" w:hAnsi="方正小标宋简体" w:eastAsia="方正小标宋简体"/>
          <w:sz w:val="44"/>
          <w:szCs w:val="44"/>
          <w:lang w:val="en-US" w:eastAsia="zh-CN"/>
        </w:rPr>
        <w:t xml:space="preserve"> </w:t>
      </w:r>
      <w:r>
        <w:rPr>
          <w:rFonts w:hint="default" w:ascii="方正小标宋简体" w:hAnsi="方正小标宋简体" w:eastAsia="方正小标宋简体"/>
          <w:sz w:val="44"/>
          <w:szCs w:val="44"/>
        </w:rPr>
        <w:t>说</w:t>
      </w:r>
      <w:r>
        <w:rPr>
          <w:rFonts w:hint="eastAsia" w:ascii="方正小标宋简体" w:hAnsi="方正小标宋简体" w:eastAsia="方正小标宋简体"/>
          <w:sz w:val="44"/>
          <w:szCs w:val="44"/>
          <w:lang w:val="en-US" w:eastAsia="zh-CN"/>
        </w:rPr>
        <w:t xml:space="preserve"> </w:t>
      </w:r>
      <w:r>
        <w:rPr>
          <w:rFonts w:hint="default" w:ascii="方正小标宋简体" w:hAnsi="方正小标宋简体" w:eastAsia="方正小标宋简体"/>
          <w:sz w:val="44"/>
          <w:szCs w:val="44"/>
        </w:rPr>
        <w:t>明</w:t>
      </w:r>
    </w:p>
    <w:p>
      <w:pPr>
        <w:ind w:firstLine="640" w:firstLineChars="200"/>
        <w:rPr>
          <w:rFonts w:hint="eastAsia" w:ascii="仿宋" w:hAnsi="仿宋" w:eastAsia="仿宋"/>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文物保护法》《中华人民共和国文物保护法实施条例》《湖北省实施&lt;中华人民共和国文物保护法&gt;办法》《湖北省文物安全管理办法》等法律法规，为进一步加强鄂州观音阁文物保护、管理和利用，市文物管理部门起草了《鄂州观音阁保护管理办法》（以下简称《办法</w:t>
      </w:r>
      <w:r>
        <w:rPr>
          <w:rFonts w:hint="eastAsia" w:ascii="仿宋_GB2312" w:hAnsi="仿宋_GB2312" w:eastAsia="仿宋_GB2312" w:cs="仿宋_GB2312"/>
          <w:sz w:val="32"/>
          <w:szCs w:val="32"/>
          <w:lang w:eastAsia="zh-CN"/>
        </w:rPr>
        <w:t>（草案送审稿）</w:t>
      </w:r>
      <w:r>
        <w:rPr>
          <w:rFonts w:hint="eastAsia" w:ascii="仿宋_GB2312" w:hAnsi="仿宋_GB2312" w:eastAsia="仿宋_GB2312" w:cs="仿宋_GB2312"/>
          <w:sz w:val="32"/>
          <w:szCs w:val="32"/>
          <w:lang w:val="en-US" w:eastAsia="zh-CN"/>
        </w:rPr>
        <w:t>》），现就有关事项说明如下：</w:t>
      </w:r>
    </w:p>
    <w:p>
      <w:pPr>
        <w:numPr>
          <w:ilvl w:val="0"/>
          <w:numId w:val="0"/>
        </w:numPr>
        <w:ind w:firstLine="640" w:firstLineChars="200"/>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一、《办法（草案送审稿）》起草的背景</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鄂州观音阁又称“龙蟠叽寺”，始建于元至正五年（1345年），</w:t>
      </w:r>
      <w:r>
        <w:rPr>
          <w:rFonts w:hint="eastAsia" w:ascii="仿宋_GB2312" w:hAnsi="仿宋_GB2312" w:eastAsia="仿宋_GB2312" w:cs="仿宋_GB2312"/>
          <w:color w:val="000000"/>
          <w:sz w:val="32"/>
          <w:szCs w:val="32"/>
          <w:lang w:val="en-US" w:eastAsia="zh-CN"/>
        </w:rPr>
        <w:t>是屹立在长江江心的唯一建筑，被誉为“万里长江第一阁”。</w:t>
      </w:r>
      <w:r>
        <w:rPr>
          <w:rFonts w:hint="eastAsia" w:ascii="仿宋_GB2312" w:hAnsi="仿宋_GB2312" w:eastAsia="仿宋_GB2312" w:cs="仿宋_GB2312"/>
          <w:sz w:val="32"/>
          <w:szCs w:val="32"/>
          <w:lang w:val="en-US" w:eastAsia="zh-CN"/>
        </w:rPr>
        <w:t>2006年5月鄂州观音阁被国务院核定并公布为</w:t>
      </w:r>
      <w:r>
        <w:rPr>
          <w:rFonts w:hint="eastAsia" w:ascii="仿宋_GB2312" w:hAnsi="仿宋_GB2312" w:eastAsia="仿宋_GB2312" w:cs="仿宋_GB2312"/>
          <w:color w:val="000000"/>
          <w:sz w:val="32"/>
          <w:szCs w:val="32"/>
        </w:rPr>
        <w:t>第六批全国重点文物保护单位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eastAsia="zh-CN"/>
        </w:rPr>
        <w:t>鄂州</w:t>
      </w:r>
      <w:r>
        <w:rPr>
          <w:rFonts w:hint="eastAsia" w:ascii="仿宋_GB2312" w:hAnsi="仿宋_GB2312" w:eastAsia="仿宋_GB2312" w:cs="仿宋_GB2312"/>
          <w:sz w:val="32"/>
          <w:szCs w:val="32"/>
          <w:lang w:val="en-US" w:eastAsia="zh-CN"/>
        </w:rPr>
        <w:t>观音阁</w:t>
      </w:r>
      <w:r>
        <w:rPr>
          <w:rFonts w:hint="eastAsia" w:ascii="仿宋_GB2312" w:hAnsi="仿宋_GB2312" w:eastAsia="仿宋_GB2312" w:cs="仿宋_GB2312"/>
          <w:color w:val="000000"/>
          <w:sz w:val="32"/>
          <w:szCs w:val="32"/>
        </w:rPr>
        <w:t>有三殿一楼一亭，汛期近半没入水中，汛期过后水落石出，以其独特的地理位置、巧妙的营造智慧、精美的建筑艺术、丰富的儒</w:t>
      </w:r>
      <w:r>
        <w:rPr>
          <w:rFonts w:hint="eastAsia" w:ascii="仿宋_GB2312" w:hAnsi="仿宋_GB2312" w:eastAsia="仿宋_GB2312" w:cs="仿宋_GB2312"/>
          <w:color w:val="000000"/>
          <w:sz w:val="32"/>
          <w:szCs w:val="32"/>
          <w:lang w:eastAsia="zh-CN"/>
        </w:rPr>
        <w:t>释道</w:t>
      </w:r>
      <w:r>
        <w:rPr>
          <w:rFonts w:hint="eastAsia" w:ascii="仿宋_GB2312" w:hAnsi="仿宋_GB2312" w:eastAsia="仿宋_GB2312" w:cs="仿宋_GB2312"/>
          <w:color w:val="000000"/>
          <w:sz w:val="32"/>
          <w:szCs w:val="32"/>
        </w:rPr>
        <w:t>文化</w:t>
      </w:r>
      <w:r>
        <w:rPr>
          <w:rFonts w:hint="eastAsia" w:ascii="仿宋_GB2312" w:hAnsi="仿宋_GB2312" w:eastAsia="仿宋_GB2312" w:cs="仿宋_GB2312"/>
          <w:color w:val="000000"/>
          <w:sz w:val="32"/>
          <w:szCs w:val="32"/>
          <w:lang w:eastAsia="zh-CN"/>
        </w:rPr>
        <w:t>元素</w:t>
      </w:r>
      <w:r>
        <w:rPr>
          <w:rFonts w:hint="eastAsia" w:ascii="仿宋_GB2312" w:hAnsi="仿宋_GB2312" w:eastAsia="仿宋_GB2312" w:cs="仿宋_GB2312"/>
          <w:color w:val="000000"/>
          <w:sz w:val="32"/>
          <w:szCs w:val="32"/>
        </w:rPr>
        <w:t>而具有巨大的历史文化艺术价值</w:t>
      </w:r>
      <w:r>
        <w:rPr>
          <w:rFonts w:hint="eastAsia" w:ascii="仿宋_GB2312" w:hAnsi="仿宋_GB2312" w:eastAsia="仿宋_GB2312" w:cs="仿宋_GB2312"/>
          <w:color w:val="000000"/>
          <w:sz w:val="32"/>
          <w:szCs w:val="32"/>
          <w:lang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为进一步深入贯彻落实习近平总书记关于文物工作的重要论述和指示批示精神，进一步加强全国重点文物保护单位观音阁的安全保护和活化利用，防范和应对各类危及观音阁文物安全的突发事件发生，</w:t>
      </w:r>
      <w:r>
        <w:rPr>
          <w:rFonts w:hint="eastAsia" w:ascii="仿宋_GB2312" w:hAnsi="仿宋_GB2312" w:eastAsia="仿宋_GB2312" w:cs="仿宋_GB2312"/>
          <w:color w:val="000000"/>
          <w:sz w:val="32"/>
          <w:szCs w:val="32"/>
          <w:lang w:eastAsia="zh-CN"/>
        </w:rPr>
        <w:t>通过立法为鄂州观音阁</w:t>
      </w:r>
      <w:r>
        <w:rPr>
          <w:rFonts w:hint="eastAsia" w:ascii="仿宋_GB2312" w:hAnsi="仿宋_GB2312" w:eastAsia="仿宋_GB2312" w:cs="仿宋_GB2312"/>
          <w:color w:val="000000"/>
          <w:sz w:val="32"/>
          <w:szCs w:val="32"/>
          <w:lang w:val="en-US" w:eastAsia="zh-CN"/>
        </w:rPr>
        <w:t>保护和管理利用提供法律保障十分必要。</w:t>
      </w:r>
    </w:p>
    <w:p>
      <w:pPr>
        <w:numPr>
          <w:ilvl w:val="0"/>
          <w:numId w:val="0"/>
        </w:numPr>
        <w:ind w:leftChars="0" w:firstLine="640" w:firstLineChars="200"/>
        <w:rPr>
          <w:rFonts w:hint="eastAsia" w:ascii="黑体" w:hAnsi="黑体" w:eastAsia="黑体"/>
          <w:kern w:val="0"/>
          <w:sz w:val="32"/>
          <w:szCs w:val="32"/>
          <w:lang w:val="en-US" w:eastAsia="zh-CN" w:bidi="ar-SA"/>
        </w:rPr>
      </w:pPr>
      <w:r>
        <w:rPr>
          <w:rFonts w:hint="eastAsia" w:ascii="黑体" w:hAnsi="黑体" w:eastAsia="黑体"/>
          <w:kern w:val="0"/>
          <w:sz w:val="32"/>
          <w:szCs w:val="32"/>
          <w:lang w:val="en-US" w:eastAsia="zh-CN" w:bidi="ar-SA"/>
        </w:rPr>
        <w:t>二、《办法（草案送审稿）》起草程序</w:t>
      </w:r>
    </w:p>
    <w:p>
      <w:pPr>
        <w:numPr>
          <w:ilvl w:val="0"/>
          <w:numId w:val="0"/>
        </w:numPr>
        <w:ind w:leftChars="0" w:firstLine="640" w:firstLineChars="200"/>
        <w:rPr>
          <w:rFonts w:hint="eastAsia" w:ascii="仿宋_GB2312" w:hAnsi="仿宋_GB2312" w:eastAsia="仿宋_GB2312"/>
          <w:b w:val="0"/>
          <w:bCs w:val="0"/>
          <w:kern w:val="0"/>
          <w:sz w:val="32"/>
          <w:szCs w:val="32"/>
          <w:lang w:val="en-US" w:eastAsia="zh-CN" w:bidi="ar-SA"/>
        </w:rPr>
      </w:pPr>
      <w:r>
        <w:rPr>
          <w:rFonts w:hint="eastAsia" w:ascii="仿宋_GB2312" w:hAnsi="仿宋_GB2312" w:eastAsia="仿宋_GB2312"/>
          <w:b w:val="0"/>
          <w:bCs w:val="0"/>
          <w:kern w:val="0"/>
          <w:sz w:val="32"/>
          <w:szCs w:val="32"/>
          <w:lang w:val="en-US" w:eastAsia="zh-CN" w:bidi="ar-SA"/>
        </w:rPr>
        <w:t>根据上级有关要求，市文物管理部门制定《办法（草案送审稿）》起草工作方案，成立专班，启动调研和规章起草等工作。一是开展基础调研。学习有关上位法律法规，认真研究学习《文物保护法》《文物保护法实施条例》《湖北省实施&lt;中华人民共和国文物保护法&gt;办法》《湖北省文物安全管理办法》等法律法规，重点研究相关法律法规中涉及文物保护利用等方面的有关规定。同时，学习借鉴湖北省黄石、黄冈、襄阳等城市的相关文物保护方面政府规章，予以借鉴和参考；二是广泛征求意见。在调研的基础上，两次征求市直相关部门和各区意见。通过媒体公开征求市民意见后，整理修改形成新的《办法（草案送审稿）》；三是开展专家论证。后期将邀请相关部门和专家进行审核论证，组织合法性审核；四是提交市政府审核。通过政府常务会等形式，组织对《办法（草案送审稿）》进行集中讨论和审查。政府审核后，以市人民政府名义正式发布。</w:t>
      </w:r>
    </w:p>
    <w:p>
      <w:pPr>
        <w:numPr>
          <w:ilvl w:val="0"/>
          <w:numId w:val="0"/>
        </w:numPr>
        <w:ind w:firstLine="640" w:firstLineChars="200"/>
        <w:rPr>
          <w:rFonts w:hint="eastAsia" w:ascii="黑体" w:hAnsi="黑体" w:eastAsia="黑体"/>
          <w:kern w:val="0"/>
          <w:sz w:val="32"/>
          <w:szCs w:val="32"/>
          <w:lang w:val="en-US" w:eastAsia="zh-CN" w:bidi="ar-SA"/>
        </w:rPr>
      </w:pPr>
      <w:r>
        <w:rPr>
          <w:rFonts w:hint="eastAsia" w:ascii="黑体" w:hAnsi="黑体" w:eastAsia="黑体"/>
          <w:kern w:val="0"/>
          <w:sz w:val="32"/>
          <w:szCs w:val="32"/>
          <w:lang w:val="en-US" w:eastAsia="zh-CN" w:bidi="ar-SA"/>
        </w:rPr>
        <w:t>三、《办法（草案送审稿）》内容起草说明</w:t>
      </w:r>
    </w:p>
    <w:p>
      <w:pPr>
        <w:spacing w:beforeAutospacing="0" w:afterAutospacing="0" w:line="360" w:lineRule="auto"/>
        <w:ind w:firstLine="640" w:firstLineChars="200"/>
        <w:rPr>
          <w:rFonts w:hint="eastAsia" w:ascii="仿宋_GB2312" w:hAnsi="仿宋_GB2312" w:eastAsia="仿宋_GB2312"/>
          <w:i w:val="0"/>
          <w:color w:val="222222"/>
          <w:spacing w:val="0"/>
          <w:sz w:val="32"/>
          <w:szCs w:val="32"/>
          <w:shd w:val="clear" w:color="auto" w:fill="FFFFFF"/>
          <w:lang w:val="en-US" w:eastAsia="zh-CN"/>
        </w:rPr>
      </w:pPr>
      <w:r>
        <w:rPr>
          <w:rFonts w:hint="eastAsia" w:ascii="仿宋_GB2312" w:hAnsi="仿宋_GB2312" w:eastAsia="仿宋_GB2312"/>
          <w:i w:val="0"/>
          <w:color w:val="222222"/>
          <w:spacing w:val="0"/>
          <w:sz w:val="32"/>
          <w:szCs w:val="32"/>
          <w:shd w:val="clear" w:color="auto" w:fill="FFFFFF"/>
          <w:lang w:val="en-US" w:eastAsia="zh-CN"/>
        </w:rPr>
        <w:t>该《办法（草案送审稿）》共22条，主要内容如下：</w:t>
      </w:r>
    </w:p>
    <w:p>
      <w:pPr>
        <w:spacing w:beforeAutospacing="0" w:afterAutospacing="0" w:line="360" w:lineRule="auto"/>
        <w:ind w:firstLine="640" w:firstLineChars="200"/>
        <w:rPr>
          <w:rFonts w:hint="eastAsia" w:ascii="仿宋_GB2312" w:hAnsi="仿宋_GB2312" w:eastAsia="仿宋_GB2312"/>
          <w:i w:val="0"/>
          <w:color w:val="222222"/>
          <w:spacing w:val="0"/>
          <w:sz w:val="32"/>
          <w:szCs w:val="32"/>
          <w:shd w:val="clear" w:color="auto" w:fill="FFFFFF"/>
          <w:lang w:val="en-US" w:eastAsia="zh-CN"/>
        </w:rPr>
      </w:pPr>
      <w:r>
        <w:rPr>
          <w:rFonts w:hint="eastAsia" w:ascii="仿宋_GB2312" w:hAnsi="仿宋_GB2312" w:eastAsia="仿宋_GB2312"/>
          <w:i w:val="0"/>
          <w:color w:val="222222"/>
          <w:spacing w:val="0"/>
          <w:sz w:val="32"/>
          <w:szCs w:val="32"/>
          <w:shd w:val="clear" w:color="auto" w:fill="FFFFFF"/>
          <w:lang w:val="en-US" w:eastAsia="zh-CN"/>
        </w:rPr>
        <w:t>（一）第一条至第四条：明确《办法（草案送审稿）》的立法目的、依据、适用范围及观音阁保护原则。</w:t>
      </w:r>
      <w:r>
        <w:rPr>
          <w:rFonts w:hint="eastAsia" w:ascii="仿宋_GB2312" w:hAnsi="仿宋_GB2312" w:eastAsia="仿宋_GB2312"/>
          <w:i w:val="0"/>
          <w:color w:val="222222"/>
          <w:spacing w:val="0"/>
          <w:sz w:val="32"/>
          <w:szCs w:val="32"/>
          <w:shd w:val="clear" w:color="auto" w:fill="FFFFFF"/>
          <w:lang w:val="en-US" w:eastAsia="zh-CN"/>
        </w:rPr>
        <w:br w:type="textWrapping"/>
      </w:r>
      <w:r>
        <w:rPr>
          <w:rFonts w:hint="eastAsia" w:ascii="仿宋_GB2312" w:hAnsi="仿宋_GB2312" w:eastAsia="仿宋_GB2312"/>
          <w:i w:val="0"/>
          <w:color w:val="222222"/>
          <w:spacing w:val="0"/>
          <w:sz w:val="32"/>
          <w:szCs w:val="32"/>
          <w:shd w:val="clear" w:color="auto" w:fill="FFFFFF"/>
          <w:lang w:val="en-US" w:eastAsia="zh-CN"/>
        </w:rPr>
        <w:t xml:space="preserve">    （二）第五条至第十五条：构建鄂州观音阁保护制度体系：明确鄂州观音阁保护管理部门责任分工；建立公开举报监督管理制度；明确鄂州观音阁禁止行为；建立观音阁预防性保护、防灾减灾和应对突发事件制度；保护专家咨询制度和应对突发事件制度；</w:t>
      </w:r>
    </w:p>
    <w:p>
      <w:pPr>
        <w:spacing w:beforeAutospacing="0" w:afterAutospacing="0" w:line="360" w:lineRule="auto"/>
        <w:ind w:firstLine="640" w:firstLineChars="200"/>
        <w:rPr>
          <w:rFonts w:hint="eastAsia" w:ascii="仿宋_GB2312" w:hAnsi="仿宋_GB2312" w:eastAsia="仿宋_GB2312"/>
          <w:i w:val="0"/>
          <w:color w:val="222222"/>
          <w:spacing w:val="0"/>
          <w:sz w:val="32"/>
          <w:szCs w:val="32"/>
          <w:shd w:val="clear" w:color="auto" w:fill="FFFFFF"/>
          <w:lang w:val="en-US" w:eastAsia="zh-CN"/>
        </w:rPr>
      </w:pPr>
      <w:r>
        <w:rPr>
          <w:rFonts w:hint="eastAsia" w:ascii="仿宋_GB2312" w:hAnsi="仿宋_GB2312" w:eastAsia="仿宋_GB2312"/>
          <w:i w:val="0"/>
          <w:color w:val="222222"/>
          <w:spacing w:val="0"/>
          <w:sz w:val="32"/>
          <w:szCs w:val="32"/>
          <w:shd w:val="clear" w:color="auto" w:fill="FFFFFF"/>
          <w:lang w:val="en-US" w:eastAsia="zh-CN"/>
        </w:rPr>
        <w:t>（三）第十六条：加强观音阁研究成果利用。</w:t>
      </w:r>
    </w:p>
    <w:p>
      <w:pPr>
        <w:spacing w:beforeAutospacing="0" w:afterAutospacing="0" w:line="360" w:lineRule="auto"/>
        <w:ind w:firstLine="640" w:firstLineChars="200"/>
        <w:rPr>
          <w:rFonts w:hint="eastAsia" w:ascii="仿宋_GB2312" w:hAnsi="仿宋_GB2312" w:eastAsia="仿宋_GB2312"/>
          <w:i w:val="0"/>
          <w:color w:val="222222"/>
          <w:spacing w:val="0"/>
          <w:sz w:val="32"/>
          <w:szCs w:val="32"/>
          <w:shd w:val="clear" w:color="auto" w:fill="FFFFFF"/>
          <w:lang w:val="en-US" w:eastAsia="zh-CN"/>
        </w:rPr>
      </w:pPr>
      <w:r>
        <w:rPr>
          <w:rFonts w:hint="eastAsia" w:ascii="仿宋_GB2312" w:hAnsi="仿宋_GB2312" w:eastAsia="仿宋_GB2312"/>
          <w:i w:val="0"/>
          <w:color w:val="222222"/>
          <w:spacing w:val="0"/>
          <w:sz w:val="32"/>
          <w:szCs w:val="32"/>
          <w:shd w:val="clear" w:color="auto" w:fill="FFFFFF"/>
          <w:lang w:val="en-US" w:eastAsia="zh-CN"/>
        </w:rPr>
        <w:t>（四）第十七条：完善文物工作联席会议制度，建立专家咨询制度。</w:t>
      </w:r>
    </w:p>
    <w:p>
      <w:pPr>
        <w:spacing w:beforeAutospacing="0" w:afterAutospacing="0" w:line="360" w:lineRule="auto"/>
        <w:ind w:firstLine="640" w:firstLineChars="200"/>
        <w:rPr>
          <w:rFonts w:hint="eastAsia" w:ascii="仿宋_GB2312" w:hAnsi="仿宋_GB2312" w:eastAsia="仿宋_GB2312"/>
          <w:i w:val="0"/>
          <w:color w:val="222222"/>
          <w:spacing w:val="0"/>
          <w:sz w:val="32"/>
          <w:szCs w:val="32"/>
          <w:shd w:val="clear" w:color="auto" w:fill="FFFFFF"/>
          <w:lang w:val="en-US" w:eastAsia="zh-CN"/>
        </w:rPr>
      </w:pPr>
      <w:r>
        <w:rPr>
          <w:rFonts w:hint="eastAsia" w:ascii="仿宋_GB2312" w:hAnsi="仿宋_GB2312" w:eastAsia="仿宋_GB2312"/>
          <w:i w:val="0"/>
          <w:color w:val="222222"/>
          <w:spacing w:val="0"/>
          <w:sz w:val="32"/>
          <w:szCs w:val="32"/>
          <w:shd w:val="clear" w:color="auto" w:fill="FFFFFF"/>
          <w:lang w:val="en-US" w:eastAsia="zh-CN"/>
        </w:rPr>
        <w:t>（五）第十八条至第二十一条：对相关责任人违反《办法（草案送审稿）》相关规定的，明确所应承担的法律责任。</w:t>
      </w:r>
    </w:p>
    <w:p>
      <w:pPr>
        <w:spacing w:beforeAutospacing="0" w:afterAutospacing="0" w:line="360" w:lineRule="auto"/>
        <w:ind w:firstLine="640" w:firstLineChars="200"/>
        <w:rPr>
          <w:rFonts w:hint="eastAsia" w:ascii="仿宋_GB2312" w:hAnsi="仿宋_GB2312" w:eastAsia="仿宋_GB2312"/>
          <w:i w:val="0"/>
          <w:color w:val="222222"/>
          <w:spacing w:val="0"/>
          <w:sz w:val="32"/>
          <w:szCs w:val="32"/>
          <w:shd w:val="clear" w:color="auto" w:fill="FFFFFF"/>
          <w:lang w:val="en-US" w:eastAsia="zh-CN"/>
        </w:rPr>
      </w:pPr>
      <w:r>
        <w:rPr>
          <w:rFonts w:hint="eastAsia" w:ascii="仿宋_GB2312" w:hAnsi="仿宋_GB2312" w:eastAsia="仿宋_GB2312"/>
          <w:i w:val="0"/>
          <w:color w:val="222222"/>
          <w:spacing w:val="0"/>
          <w:sz w:val="32"/>
          <w:szCs w:val="32"/>
          <w:shd w:val="clear" w:color="auto" w:fill="FFFFFF"/>
          <w:lang w:val="en-US" w:eastAsia="zh-CN"/>
        </w:rPr>
        <w:t>（六）第二十二条：明确《办法》生效时间。</w:t>
      </w:r>
    </w:p>
    <w:p>
      <w:pPr>
        <w:spacing w:beforeAutospacing="0" w:afterAutospacing="0" w:line="360" w:lineRule="auto"/>
        <w:rPr>
          <w:rFonts w:hint="eastAsia" w:ascii="仿宋" w:hAnsi="仿宋" w:eastAsia="仿宋"/>
          <w:i w:val="0"/>
          <w:color w:val="222222"/>
          <w:spacing w:val="0"/>
          <w:sz w:val="32"/>
          <w:szCs w:val="32"/>
          <w:shd w:val="clear" w:color="auto" w:fill="FFFFFF"/>
          <w:lang w:val="en-US" w:eastAsia="zh-CN"/>
        </w:rPr>
      </w:pPr>
    </w:p>
    <w:p>
      <w:pPr>
        <w:spacing w:beforeAutospacing="0" w:afterAutospacing="0" w:line="360" w:lineRule="auto"/>
        <w:rPr>
          <w:rFonts w:hint="eastAsia" w:ascii="仿宋" w:hAnsi="仿宋" w:eastAsia="仿宋"/>
          <w:i w:val="0"/>
          <w:color w:val="222222"/>
          <w:spacing w:val="0"/>
          <w:sz w:val="32"/>
          <w:szCs w:val="32"/>
          <w:shd w:val="clear" w:color="auto" w:fill="FFFFFF"/>
          <w:lang w:val="en-US" w:eastAsia="zh-CN"/>
        </w:rPr>
      </w:pPr>
    </w:p>
    <w:p>
      <w:pPr>
        <w:spacing w:beforeAutospacing="0" w:afterAutospacing="0" w:line="360" w:lineRule="auto"/>
        <w:rPr>
          <w:rFonts w:hint="eastAsia" w:ascii="仿宋" w:hAnsi="仿宋" w:eastAsia="仿宋"/>
          <w:i w:val="0"/>
          <w:color w:val="222222"/>
          <w:spacing w:val="0"/>
          <w:sz w:val="32"/>
          <w:szCs w:val="32"/>
          <w:shd w:val="clear" w:color="auto" w:fill="FFFFFF"/>
          <w:lang w:val="en-US" w:eastAsia="zh-CN"/>
        </w:rPr>
      </w:pPr>
    </w:p>
    <w:p>
      <w:pPr>
        <w:spacing w:beforeAutospacing="0" w:afterAutospacing="0" w:line="360" w:lineRule="auto"/>
        <w:rPr>
          <w:rFonts w:hint="eastAsia" w:ascii="仿宋" w:hAnsi="仿宋" w:eastAsia="仿宋"/>
          <w:i w:val="0"/>
          <w:color w:val="222222"/>
          <w:spacing w:val="0"/>
          <w:sz w:val="32"/>
          <w:szCs w:val="32"/>
          <w:shd w:val="clear" w:color="auto" w:fill="FFFFFF"/>
          <w:lang w:val="en-US" w:eastAsia="zh-CN"/>
        </w:rPr>
      </w:pPr>
    </w:p>
    <w:p>
      <w:pPr>
        <w:spacing w:beforeAutospacing="0" w:afterAutospacing="0" w:line="360" w:lineRule="auto"/>
        <w:rPr>
          <w:rFonts w:hint="eastAsia" w:ascii="仿宋" w:hAnsi="仿宋" w:eastAsia="仿宋"/>
          <w:i w:val="0"/>
          <w:color w:val="222222"/>
          <w:spacing w:val="0"/>
          <w:sz w:val="32"/>
          <w:szCs w:val="32"/>
          <w:shd w:val="clear" w:color="auto" w:fill="FFFFFF"/>
          <w:lang w:val="en-US" w:eastAsia="zh-CN"/>
        </w:rPr>
      </w:pPr>
    </w:p>
    <w:p>
      <w:pPr>
        <w:spacing w:beforeAutospacing="0" w:afterAutospacing="0" w:line="360" w:lineRule="auto"/>
        <w:rPr>
          <w:rFonts w:hint="eastAsia" w:ascii="仿宋" w:hAnsi="仿宋" w:eastAsia="仿宋"/>
          <w:i w:val="0"/>
          <w:color w:val="222222"/>
          <w:spacing w:val="0"/>
          <w:sz w:val="32"/>
          <w:szCs w:val="32"/>
          <w:shd w:val="clear" w:color="auto" w:fill="FFFFFF"/>
          <w:lang w:val="en-US" w:eastAsia="zh-CN"/>
        </w:rPr>
      </w:pPr>
    </w:p>
    <w:p>
      <w:pPr>
        <w:spacing w:beforeAutospacing="0" w:afterAutospacing="0" w:line="360" w:lineRule="auto"/>
        <w:rPr>
          <w:rFonts w:hint="eastAsia" w:ascii="仿宋" w:hAnsi="仿宋" w:eastAsia="仿宋"/>
          <w:i w:val="0"/>
          <w:color w:val="222222"/>
          <w:spacing w:val="0"/>
          <w:sz w:val="32"/>
          <w:szCs w:val="32"/>
          <w:shd w:val="clear" w:color="auto" w:fill="FFFFFF"/>
          <w:lang w:val="en-US" w:eastAsia="zh-CN"/>
        </w:rPr>
      </w:pPr>
    </w:p>
    <w:p>
      <w:pPr>
        <w:spacing w:beforeAutospacing="0" w:afterAutospacing="0" w:line="360" w:lineRule="auto"/>
        <w:rPr>
          <w:rFonts w:hint="eastAsia" w:ascii="仿宋" w:hAnsi="仿宋" w:eastAsia="仿宋"/>
          <w:i w:val="0"/>
          <w:color w:val="222222"/>
          <w:spacing w:val="0"/>
          <w:sz w:val="32"/>
          <w:szCs w:val="32"/>
          <w:shd w:val="clear" w:color="auto" w:fill="FFFFFF"/>
          <w:lang w:val="en-US" w:eastAsia="zh-CN"/>
        </w:rPr>
      </w:pPr>
    </w:p>
    <w:p>
      <w:pPr>
        <w:spacing w:beforeAutospacing="0" w:afterAutospacing="0" w:line="360" w:lineRule="auto"/>
        <w:rPr>
          <w:rFonts w:hint="eastAsia" w:ascii="仿宋" w:hAnsi="仿宋" w:eastAsia="仿宋"/>
          <w:i w:val="0"/>
          <w:color w:val="222222"/>
          <w:spacing w:val="0"/>
          <w:sz w:val="32"/>
          <w:szCs w:val="32"/>
          <w:shd w:val="clear" w:color="auto" w:fill="FFFFFF"/>
          <w:lang w:val="en-US" w:eastAsia="zh-CN"/>
        </w:rPr>
      </w:pPr>
    </w:p>
    <w:p>
      <w:pPr>
        <w:spacing w:beforeAutospacing="0" w:afterAutospacing="0" w:line="360" w:lineRule="auto"/>
        <w:rPr>
          <w:rFonts w:hint="eastAsia" w:ascii="仿宋" w:hAnsi="仿宋" w:eastAsia="仿宋"/>
          <w:i w:val="0"/>
          <w:color w:val="222222"/>
          <w:spacing w:val="0"/>
          <w:sz w:val="32"/>
          <w:szCs w:val="32"/>
          <w:shd w:val="clear" w:color="auto" w:fill="FFFFFF"/>
          <w:lang w:val="en-US" w:eastAsia="zh-CN"/>
        </w:rPr>
      </w:pPr>
    </w:p>
    <w:p>
      <w:pPr>
        <w:spacing w:beforeAutospacing="0" w:afterAutospacing="0" w:line="360" w:lineRule="auto"/>
        <w:rPr>
          <w:rFonts w:hint="eastAsia" w:ascii="仿宋" w:hAnsi="仿宋" w:eastAsia="仿宋"/>
          <w:i w:val="0"/>
          <w:color w:val="222222"/>
          <w:spacing w:val="0"/>
          <w:sz w:val="32"/>
          <w:szCs w:val="32"/>
          <w:shd w:val="clear" w:color="auto" w:fill="FFFFFF"/>
          <w:lang w:val="en-US" w:eastAsia="zh-CN"/>
        </w:rPr>
        <w:sectPr>
          <w:pgSz w:w="11906" w:h="16838"/>
          <w:pgMar w:top="1701" w:right="1531" w:bottom="1451" w:left="1531" w:header="851" w:footer="992" w:gutter="0"/>
          <w:pgNumType w:fmt="numberInDash" w:start="2"/>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2E3MTYzMzBlNWY2YTM0YWE0YmFjZDdmZjg1YmIifQ=="/>
  </w:docVars>
  <w:rsids>
    <w:rsidRoot w:val="085C6383"/>
    <w:rsid w:val="085C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rPr>
      <w:rFonts w:ascii="Calibri" w:hAnsi="Calibri"/>
    </w:rPr>
  </w:style>
  <w:style w:type="paragraph" w:styleId="3">
    <w:name w:val="Body Text Indent"/>
    <w:basedOn w:val="1"/>
    <w:next w:val="2"/>
    <w:qFormat/>
    <w:uiPriority w:val="99"/>
    <w:pPr>
      <w:ind w:firstLine="640" w:firstLineChars="200"/>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2023-08-22T07:10:00Z</dcterms:created>
  <dc:creator>正梳妆要开始做养生girl</dc:creator>
  <cp:lastModifiedBy>正梳妆要开始做养生girl</cp:lastModifiedBy>
  <dcterms:modified xsi:type="dcterms:W3CDTF">2023-08-22T07:11:06Z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93BDBCBCE8F84AF78A0D41FFCA41B506_11</vt:lpwstr>
  </property>
</Properties>
</file>