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7D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798C0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A9BB0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36"/>
          <w:szCs w:val="36"/>
          <w:highlight w:val="none"/>
          <w:lang w:val="en-US" w:eastAsia="zh-CN" w:bidi="ar"/>
        </w:rPr>
        <w:t>鄂州市2025年公共法律服务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eastAsia="zh-CN"/>
        </w:rPr>
        <w:t>“双随机、一公开”</w:t>
      </w:r>
    </w:p>
    <w:p w14:paraId="060ACF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cs="Times New Roman"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36"/>
          <w:szCs w:val="36"/>
          <w:highlight w:val="none"/>
          <w:lang w:val="en-US" w:eastAsia="zh-CN" w:bidi="ar"/>
        </w:rPr>
        <w:t>检查评分表（体系建设）</w:t>
      </w:r>
    </w:p>
    <w:p w14:paraId="593DCF59">
      <w:pPr>
        <w:rPr>
          <w:rFonts w:hint="eastAsia" w:ascii="Times New Roman" w:hAnsi="Times New Roman" w:eastAsia="楷体" w:cs="楷体"/>
          <w:b/>
          <w:bCs w:val="0"/>
          <w:color w:val="auto"/>
          <w:sz w:val="32"/>
          <w:szCs w:val="22"/>
          <w:highlight w:val="none"/>
        </w:rPr>
      </w:pPr>
      <w:r>
        <w:rPr>
          <w:rFonts w:hint="eastAsia" w:ascii="Times New Roman" w:hAnsi="Times New Roman" w:eastAsia="楷体" w:cs="楷体"/>
          <w:b/>
          <w:bCs w:val="0"/>
          <w:color w:val="auto"/>
          <w:sz w:val="32"/>
          <w:szCs w:val="22"/>
          <w:highlight w:val="none"/>
          <w:lang w:eastAsia="zh-CN"/>
        </w:rPr>
        <w:t>单位（区）</w:t>
      </w:r>
      <w:r>
        <w:rPr>
          <w:rFonts w:hint="eastAsia" w:ascii="Times New Roman" w:hAnsi="Times New Roman" w:eastAsia="楷体" w:cs="楷体"/>
          <w:b/>
          <w:bCs w:val="0"/>
          <w:color w:val="auto"/>
          <w:sz w:val="32"/>
          <w:szCs w:val="22"/>
          <w:highlight w:val="none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351"/>
        <w:gridCol w:w="4820"/>
        <w:gridCol w:w="650"/>
        <w:gridCol w:w="807"/>
      </w:tblGrid>
      <w:tr w14:paraId="02A7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4" w:type="dxa"/>
            <w:noWrap w:val="0"/>
            <w:vAlign w:val="center"/>
          </w:tcPr>
          <w:p w14:paraId="4FAF8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项目</w:t>
            </w:r>
          </w:p>
        </w:tc>
        <w:tc>
          <w:tcPr>
            <w:tcW w:w="2042" w:type="dxa"/>
            <w:noWrap w:val="0"/>
            <w:vAlign w:val="center"/>
          </w:tcPr>
          <w:p w14:paraId="3F70D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抽查内容</w:t>
            </w:r>
          </w:p>
        </w:tc>
        <w:tc>
          <w:tcPr>
            <w:tcW w:w="8788" w:type="dxa"/>
            <w:noWrap w:val="0"/>
            <w:vAlign w:val="center"/>
          </w:tcPr>
          <w:p w14:paraId="20036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检查标准</w:t>
            </w:r>
          </w:p>
        </w:tc>
        <w:tc>
          <w:tcPr>
            <w:tcW w:w="812" w:type="dxa"/>
            <w:noWrap w:val="0"/>
            <w:vAlign w:val="center"/>
          </w:tcPr>
          <w:p w14:paraId="6FD25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分值</w:t>
            </w:r>
          </w:p>
        </w:tc>
        <w:tc>
          <w:tcPr>
            <w:tcW w:w="1134" w:type="dxa"/>
            <w:noWrap w:val="0"/>
            <w:vAlign w:val="center"/>
          </w:tcPr>
          <w:p w14:paraId="0CEEC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自评分</w:t>
            </w:r>
          </w:p>
        </w:tc>
      </w:tr>
      <w:tr w14:paraId="0BEB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04" w:type="dxa"/>
            <w:vMerge w:val="restart"/>
            <w:noWrap w:val="0"/>
            <w:vAlign w:val="center"/>
          </w:tcPr>
          <w:p w14:paraId="52A95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平台</w:t>
            </w:r>
          </w:p>
          <w:p w14:paraId="3BC17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建设（30分）</w:t>
            </w:r>
          </w:p>
        </w:tc>
        <w:tc>
          <w:tcPr>
            <w:tcW w:w="2042" w:type="dxa"/>
            <w:noWrap w:val="0"/>
            <w:vAlign w:val="center"/>
          </w:tcPr>
          <w:p w14:paraId="5DC9B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实体平台</w:t>
            </w:r>
          </w:p>
        </w:tc>
        <w:tc>
          <w:tcPr>
            <w:tcW w:w="8788" w:type="dxa"/>
            <w:noWrap w:val="0"/>
            <w:vAlign w:val="center"/>
          </w:tcPr>
          <w:p w14:paraId="20605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市、县两级建有公共法律服务中心，乡镇依托司法所建有公共法律服务中心（站），有条件的村（社区）建有公共法律服务工作室，村（居）法律顾问全覆盖。</w:t>
            </w:r>
          </w:p>
        </w:tc>
        <w:tc>
          <w:tcPr>
            <w:tcW w:w="812" w:type="dxa"/>
            <w:noWrap w:val="0"/>
            <w:vAlign w:val="center"/>
          </w:tcPr>
          <w:p w14:paraId="61465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 w14:paraId="57A98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A1F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E561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2F4AD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网络、热线平台</w:t>
            </w:r>
          </w:p>
        </w:tc>
        <w:tc>
          <w:tcPr>
            <w:tcW w:w="8788" w:type="dxa"/>
            <w:noWrap w:val="0"/>
            <w:vAlign w:val="center"/>
          </w:tcPr>
          <w:p w14:paraId="54C8A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12348公共法律服务热线实现24小时人工服务加1分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，1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2348公共法律服务热线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年接通率大于90%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的加1分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建设网络服务阵地，进驻同级政务服务平台的加2分。</w:t>
            </w:r>
          </w:p>
        </w:tc>
        <w:tc>
          <w:tcPr>
            <w:tcW w:w="812" w:type="dxa"/>
            <w:noWrap w:val="0"/>
            <w:vAlign w:val="center"/>
          </w:tcPr>
          <w:p w14:paraId="6E411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 w14:paraId="6887F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22A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39A7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3376F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平台规范化</w:t>
            </w:r>
          </w:p>
        </w:tc>
        <w:tc>
          <w:tcPr>
            <w:tcW w:w="8788" w:type="dxa"/>
            <w:noWrap w:val="0"/>
            <w:vAlign w:val="center"/>
          </w:tcPr>
          <w:p w14:paraId="36C92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符合“一站式、综合性”服务窗口标准。</w:t>
            </w:r>
          </w:p>
        </w:tc>
        <w:tc>
          <w:tcPr>
            <w:tcW w:w="812" w:type="dxa"/>
            <w:noWrap w:val="0"/>
            <w:vAlign w:val="center"/>
          </w:tcPr>
          <w:p w14:paraId="7E7FB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 w14:paraId="05262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398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06BC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5AEF0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服务标准化</w:t>
            </w:r>
          </w:p>
        </w:tc>
        <w:tc>
          <w:tcPr>
            <w:tcW w:w="8788" w:type="dxa"/>
            <w:noWrap w:val="0"/>
            <w:vAlign w:val="center"/>
          </w:tcPr>
          <w:p w14:paraId="650C5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制定公共法律服务事项清单，建立健全各类服务规范，建立质量监督评估体系、服务评价体系，对平台运营和服务进行动态监管。</w:t>
            </w:r>
          </w:p>
        </w:tc>
        <w:tc>
          <w:tcPr>
            <w:tcW w:w="812" w:type="dxa"/>
            <w:noWrap w:val="0"/>
            <w:vAlign w:val="center"/>
          </w:tcPr>
          <w:p w14:paraId="4747B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 w14:paraId="416C0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41B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4BA3A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79976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服务满意率</w:t>
            </w:r>
          </w:p>
        </w:tc>
        <w:tc>
          <w:tcPr>
            <w:tcW w:w="8788" w:type="dxa"/>
            <w:noWrap w:val="0"/>
            <w:vAlign w:val="center"/>
          </w:tcPr>
          <w:p w14:paraId="1542E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人民群众对实体、热线平台服务满意率达90%以上。</w:t>
            </w:r>
          </w:p>
        </w:tc>
        <w:tc>
          <w:tcPr>
            <w:tcW w:w="812" w:type="dxa"/>
            <w:noWrap w:val="0"/>
            <w:vAlign w:val="center"/>
          </w:tcPr>
          <w:p w14:paraId="20E20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 w14:paraId="2BB60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419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104" w:type="dxa"/>
            <w:vMerge w:val="restart"/>
            <w:noWrap w:val="0"/>
            <w:vAlign w:val="center"/>
          </w:tcPr>
          <w:p w14:paraId="6F982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功能</w:t>
            </w:r>
          </w:p>
          <w:p w14:paraId="5F523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作用（30分）</w:t>
            </w:r>
          </w:p>
        </w:tc>
        <w:tc>
          <w:tcPr>
            <w:tcW w:w="2042" w:type="dxa"/>
            <w:noWrap w:val="0"/>
            <w:vAlign w:val="center"/>
          </w:tcPr>
          <w:p w14:paraId="54E6A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服务乡村振兴</w:t>
            </w:r>
          </w:p>
        </w:tc>
        <w:tc>
          <w:tcPr>
            <w:tcW w:w="8788" w:type="dxa"/>
            <w:noWrap w:val="0"/>
            <w:vAlign w:val="center"/>
          </w:tcPr>
          <w:p w14:paraId="42169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组建公共法律服务团，依托公共法律服务实体平台，开展面向农村偏远地区的流动公共法律服务，鼓励更好地满足乡村群众多层次、多样化公共法律服务需求。</w:t>
            </w:r>
          </w:p>
        </w:tc>
        <w:tc>
          <w:tcPr>
            <w:tcW w:w="812" w:type="dxa"/>
            <w:noWrap w:val="0"/>
            <w:vAlign w:val="center"/>
          </w:tcPr>
          <w:p w14:paraId="3BEDE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 w14:paraId="45A2F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4A1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3CA0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3BFC8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优化营商环境</w:t>
            </w:r>
          </w:p>
        </w:tc>
        <w:tc>
          <w:tcPr>
            <w:tcW w:w="8788" w:type="dxa"/>
            <w:noWrap w:val="0"/>
            <w:vAlign w:val="center"/>
          </w:tcPr>
          <w:p w14:paraId="302BC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常态化开展专项行动，提升法律服务资源整合能力，实现涉企公共法律服务的集团化、精准化、便捷化、项目化，为企业提供“全生命周期”法律服务产品。</w:t>
            </w:r>
          </w:p>
        </w:tc>
        <w:tc>
          <w:tcPr>
            <w:tcW w:w="812" w:type="dxa"/>
            <w:noWrap w:val="0"/>
            <w:vAlign w:val="center"/>
          </w:tcPr>
          <w:p w14:paraId="7404C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 w14:paraId="455EA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1BD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52D7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3DEC2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服务重点人群</w:t>
            </w:r>
          </w:p>
        </w:tc>
        <w:tc>
          <w:tcPr>
            <w:tcW w:w="8788" w:type="dxa"/>
            <w:noWrap w:val="0"/>
            <w:vAlign w:val="center"/>
          </w:tcPr>
          <w:p w14:paraId="23A7C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建立“绿色通道”，落实惠民政策，优先向残疾人、老年人、未成年人、困难家庭等特殊群体和军人军属、退役军人等优抚对象提供法律服务。</w:t>
            </w:r>
          </w:p>
        </w:tc>
        <w:tc>
          <w:tcPr>
            <w:tcW w:w="812" w:type="dxa"/>
            <w:noWrap w:val="0"/>
            <w:vAlign w:val="center"/>
          </w:tcPr>
          <w:p w14:paraId="448ED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 w14:paraId="7D082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160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104" w:type="dxa"/>
            <w:vMerge w:val="restart"/>
            <w:noWrap w:val="0"/>
            <w:vAlign w:val="center"/>
          </w:tcPr>
          <w:p w14:paraId="62EE4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服务</w:t>
            </w:r>
          </w:p>
          <w:p w14:paraId="5050F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保障</w:t>
            </w:r>
          </w:p>
          <w:p w14:paraId="58858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（40分）</w:t>
            </w:r>
          </w:p>
        </w:tc>
        <w:tc>
          <w:tcPr>
            <w:tcW w:w="2042" w:type="dxa"/>
            <w:noWrap w:val="0"/>
            <w:vAlign w:val="center"/>
          </w:tcPr>
          <w:p w14:paraId="732D9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党的领导</w:t>
            </w:r>
          </w:p>
        </w:tc>
        <w:tc>
          <w:tcPr>
            <w:tcW w:w="8788" w:type="dxa"/>
            <w:noWrap w:val="0"/>
            <w:vAlign w:val="center"/>
          </w:tcPr>
          <w:p w14:paraId="3C6F8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把党的全面领导贯穿于推进公共法律服务体系建设全领域、全过程，公共法律服务体系建设纳入国民经济和社会发展规划，加强公共法律服务行业党的建设。</w:t>
            </w:r>
          </w:p>
        </w:tc>
        <w:tc>
          <w:tcPr>
            <w:tcW w:w="812" w:type="dxa"/>
            <w:noWrap w:val="0"/>
            <w:vAlign w:val="center"/>
          </w:tcPr>
          <w:p w14:paraId="57D16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 w14:paraId="2EE29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3E8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6C694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4358F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经费保障</w:t>
            </w:r>
          </w:p>
        </w:tc>
        <w:tc>
          <w:tcPr>
            <w:tcW w:w="8788" w:type="dxa"/>
            <w:noWrap w:val="0"/>
            <w:vAlign w:val="center"/>
          </w:tcPr>
          <w:p w14:paraId="691E9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将公共法律服务纳入基本公共服务均等化保障体系，建立与公共法律服务发展需求相适应的财政投入保障机制。编制政府购买公共法律服务指导性目录，完善政府购买公共法律服务机制。</w:t>
            </w:r>
          </w:p>
        </w:tc>
        <w:tc>
          <w:tcPr>
            <w:tcW w:w="812" w:type="dxa"/>
            <w:noWrap w:val="0"/>
            <w:vAlign w:val="center"/>
          </w:tcPr>
          <w:p w14:paraId="1FA19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 w14:paraId="47691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339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0C96A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2452E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队伍建设</w:t>
            </w:r>
          </w:p>
        </w:tc>
        <w:tc>
          <w:tcPr>
            <w:tcW w:w="8788" w:type="dxa"/>
            <w:noWrap w:val="0"/>
            <w:vAlign w:val="center"/>
          </w:tcPr>
          <w:p w14:paraId="5BFEA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法律服务机构和人员设置符合要求并规范开展服务，建立公共法律服务人员专业培训教育机制，定期开展政治轮训和业务培训。鼓励社会力量参与公共法律服务。</w:t>
            </w:r>
          </w:p>
        </w:tc>
        <w:tc>
          <w:tcPr>
            <w:tcW w:w="812" w:type="dxa"/>
            <w:noWrap w:val="0"/>
            <w:vAlign w:val="center"/>
          </w:tcPr>
          <w:p w14:paraId="7DA7F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 w14:paraId="1EADC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8D9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104" w:type="dxa"/>
            <w:vMerge w:val="continue"/>
            <w:noWrap w:val="0"/>
            <w:vAlign w:val="center"/>
          </w:tcPr>
          <w:p w14:paraId="28DD2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6F3FE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监督考核</w:t>
            </w:r>
          </w:p>
        </w:tc>
        <w:tc>
          <w:tcPr>
            <w:tcW w:w="8788" w:type="dxa"/>
            <w:noWrap w:val="0"/>
            <w:vAlign w:val="center"/>
          </w:tcPr>
          <w:p w14:paraId="21D46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建立公共法律服务信息公开制度，及时向社会发布服务机构、服务内容、服务平台、服务时间等信息，自觉接受社会监督。推行公共法律服务首问负责制、服务承诺制，建立完善投诉受理、处理和反馈机制。开展第三方评估加3分。</w:t>
            </w:r>
          </w:p>
        </w:tc>
        <w:tc>
          <w:tcPr>
            <w:tcW w:w="812" w:type="dxa"/>
            <w:noWrap w:val="0"/>
            <w:vAlign w:val="center"/>
          </w:tcPr>
          <w:p w14:paraId="4603A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 w14:paraId="2D51C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232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04" w:type="dxa"/>
            <w:noWrap w:val="0"/>
            <w:vAlign w:val="center"/>
          </w:tcPr>
          <w:p w14:paraId="3CA65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2776" w:type="dxa"/>
            <w:gridSpan w:val="4"/>
            <w:noWrap w:val="0"/>
            <w:vAlign w:val="center"/>
          </w:tcPr>
          <w:p w14:paraId="1E6D6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 w14:paraId="20F43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</w:rPr>
        <w:t>说明：1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</w:rPr>
        <w:t>以上项目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eastAsia="zh-CN"/>
        </w:rPr>
        <w:t>如涉及具体时间，其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</w:rPr>
        <w:t>涉及数据的时间段为20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</w:rPr>
        <w:t>年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</w:rPr>
        <w:t>月至20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</w:rPr>
        <w:t>年</w:t>
      </w:r>
      <w:r>
        <w:rPr>
          <w:rFonts w:hint="eastAsia" w:eastAsia="方正楷体_GBK" w:cs="Times New Roman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</w:rPr>
        <w:t>月。</w:t>
      </w:r>
    </w:p>
    <w:p w14:paraId="32529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 xml:space="preserve">      2.总分为100分，90分以上为优秀，80-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89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分为合格，60-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79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分为基本合格，60分以下为不合格。</w:t>
      </w:r>
    </w:p>
    <w:p w14:paraId="5F94F0B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00" w:leftChars="0" w:right="0" w:rightChars="0" w:firstLine="210" w:firstLineChars="1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>检查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</w:rPr>
        <w:t>人员签名：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</w:rPr>
        <w:t xml:space="preserve">      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</w:rPr>
        <w:t xml:space="preserve">执法证号：            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 xml:space="preserve">            202</w:t>
      </w:r>
      <w:r>
        <w:rPr>
          <w:rFonts w:hint="eastAsia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>年  月  日</w:t>
      </w:r>
    </w:p>
    <w:p w14:paraId="7CEC101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00" w:leftChars="0" w:right="0" w:rightChars="0" w:firstLine="210" w:firstLineChars="1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>检查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</w:rPr>
        <w:t>人员签名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</w:rPr>
        <w:t xml:space="preserve">        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</w:rPr>
        <w:t>执法证号：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 xml:space="preserve">                        202</w:t>
      </w:r>
      <w:r>
        <w:rPr>
          <w:rFonts w:hint="eastAsia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>年  月  日</w:t>
      </w:r>
    </w:p>
    <w:p w14:paraId="53AB7B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90CFB"/>
    <w:rsid w:val="1BF9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textAlignment w:val="baseline"/>
    </w:pPr>
    <w:rPr>
      <w:rFonts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2025-11-13T02:37:00Z</dcterms:created>
  <dc:creator>12</dc:creator>
  <cp:lastModifiedBy>12</cp:lastModifiedBy>
  <dcterms:modified xsi:type="dcterms:W3CDTF">2025-11-13T02:37:18Z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050F941780F542D59E565FFF917BF6DA_11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